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DA" w:rsidRDefault="00AC5DF3" w:rsidP="00BE4136">
      <w:pPr>
        <w:pStyle w:val="Rtitle"/>
      </w:pPr>
      <w:r>
        <w:t>Audit</w:t>
      </w:r>
      <w:r>
        <w:t xml:space="preserve"> </w:t>
      </w:r>
      <w:r>
        <w:rPr>
          <w:lang w:eastAsia="en-GB"/>
        </w:rPr>
        <w:t xml:space="preserve">assurance levels and classification of residual </w:t>
      </w:r>
      <w:r>
        <w:t>risk</w:t>
      </w:r>
    </w:p>
    <w:p w:rsidR="002C4878" w:rsidRDefault="00AC5DF3" w:rsidP="00AC5DF3">
      <w:pPr>
        <w:pStyle w:val="Rblankparagraph"/>
      </w:pPr>
      <w:r>
        <w:t xml:space="preserve">The Internal Audit Service keeps its professional methodology and practice under continual review and, supported by the external quality assessment process during 2017/18, decided to adopt a more </w:t>
      </w:r>
      <w:r>
        <w:t>appropriate categorisation of the assurance it provides. Minor amendments were also made to the definitions of residual risk.</w:t>
      </w:r>
    </w:p>
    <w:p w:rsidR="002C4878" w:rsidRDefault="00AC5DF3" w:rsidP="00AC5DF3">
      <w:pPr>
        <w:pStyle w:val="Rblankparagraph"/>
      </w:pPr>
      <w:r>
        <w:t>The definitions employed in both 2017/18 and 2018/19 are set out below.</w:t>
      </w:r>
    </w:p>
    <w:p w:rsidR="009672B6" w:rsidRDefault="00AC5DF3" w:rsidP="002C4878">
      <w:pPr>
        <w:pStyle w:val="Rtitle"/>
      </w:pPr>
      <w:r>
        <w:t>2</w:t>
      </w:r>
      <w:r>
        <w:t>017/18</w:t>
      </w:r>
    </w:p>
    <w:p w:rsidR="009672B6" w:rsidRDefault="00AC5DF3" w:rsidP="002C4878">
      <w:pPr>
        <w:pStyle w:val="Rheading"/>
        <w:numPr>
          <w:ilvl w:val="0"/>
          <w:numId w:val="0"/>
        </w:numPr>
        <w:ind w:left="567" w:hanging="567"/>
      </w:pPr>
      <w:r>
        <w:t>Assurance levels</w:t>
      </w:r>
    </w:p>
    <w:p w:rsidR="009672B6" w:rsidRDefault="00AC5DF3" w:rsidP="00AC5DF3">
      <w:pPr>
        <w:pStyle w:val="Rblankparagraph"/>
      </w:pPr>
      <w:r>
        <w:rPr>
          <w:b/>
        </w:rPr>
        <w:t>Full assurance</w:t>
      </w:r>
      <w:r>
        <w:t xml:space="preserve">: there is a sound </w:t>
      </w:r>
      <w:r>
        <w:t>system of internal control which is designed to meet the service objectives and controls are being consistently applied.</w:t>
      </w:r>
    </w:p>
    <w:p w:rsidR="009672B6" w:rsidRDefault="00AC5DF3" w:rsidP="00AC5DF3">
      <w:pPr>
        <w:pStyle w:val="Rblankparagraph"/>
      </w:pPr>
      <w:r>
        <w:rPr>
          <w:b/>
        </w:rPr>
        <w:t>Substantial assurance</w:t>
      </w:r>
      <w:r>
        <w:t>: there is a generally sound system of internal control, designed to meet the service objectives, and controls are</w:t>
      </w:r>
      <w:r>
        <w:t xml:space="preserve"> generally being applied consistently. However some weakness in the design and/ or inconsistent application of controls put the achievement of particular objectives at risk. </w:t>
      </w:r>
    </w:p>
    <w:p w:rsidR="009672B6" w:rsidRDefault="00AC5DF3" w:rsidP="00AC5DF3">
      <w:pPr>
        <w:pStyle w:val="Rblankparagraph"/>
      </w:pPr>
      <w:r>
        <w:rPr>
          <w:b/>
        </w:rPr>
        <w:t>Limited assurance</w:t>
      </w:r>
      <w:r>
        <w:t>: weaknesses in the design and/ or inconsistent application of c</w:t>
      </w:r>
      <w:r>
        <w:t>ontrols put the achievement of the service objectives at risk.</w:t>
      </w:r>
    </w:p>
    <w:p w:rsidR="009672B6" w:rsidRDefault="00AC5DF3" w:rsidP="00AC5DF3">
      <w:pPr>
        <w:pStyle w:val="Rblankparagraph"/>
      </w:pPr>
      <w:r>
        <w:rPr>
          <w:b/>
        </w:rPr>
        <w:t>No assurance</w:t>
      </w:r>
      <w:r>
        <w:t>: weaknesses in control and/ or consistent non-compliance with controls could result/ have resulted in failure to achieve the service objectives.</w:t>
      </w:r>
    </w:p>
    <w:p w:rsidR="009672B6" w:rsidRDefault="00AC5DF3" w:rsidP="002C4878">
      <w:pPr>
        <w:pStyle w:val="Rheading"/>
        <w:numPr>
          <w:ilvl w:val="0"/>
          <w:numId w:val="0"/>
        </w:numPr>
        <w:ind w:left="567" w:hanging="567"/>
      </w:pPr>
      <w:r>
        <w:t>R</w:t>
      </w:r>
      <w:r>
        <w:t>esidual risks</w:t>
      </w:r>
    </w:p>
    <w:p w:rsidR="009672B6" w:rsidRDefault="00AC5DF3" w:rsidP="00AC5DF3">
      <w:pPr>
        <w:pStyle w:val="Rblankparagraph"/>
        <w:rPr>
          <w:b/>
          <w:bCs/>
          <w:i/>
        </w:rPr>
      </w:pPr>
      <w:r>
        <w:rPr>
          <w:b/>
          <w:bCs/>
        </w:rPr>
        <w:t>Extreme residual ris</w:t>
      </w:r>
      <w:r>
        <w:rPr>
          <w:b/>
          <w:bCs/>
        </w:rPr>
        <w:t>k</w:t>
      </w:r>
      <w:r>
        <w:t>: Critical and urgent in that failure to address the risk could lead to one or more of the following occurring: catastrophic loss of the county council's services, loss of life, significant environmental damage or huge financial loss, with related nationa</w:t>
      </w:r>
      <w:r>
        <w:t xml:space="preserve">l press coverage and substantial damage to the council's reputation. </w:t>
      </w:r>
      <w:r>
        <w:rPr>
          <w:i/>
        </w:rPr>
        <w:t>Remedial action must be taken immediately.</w:t>
      </w:r>
    </w:p>
    <w:p w:rsidR="009672B6" w:rsidRDefault="00AC5DF3" w:rsidP="00AC5DF3">
      <w:pPr>
        <w:pStyle w:val="Rblankparagraph"/>
      </w:pPr>
      <w:r>
        <w:rPr>
          <w:b/>
          <w:bCs/>
        </w:rPr>
        <w:t>High residual risk</w:t>
      </w:r>
      <w:r>
        <w:rPr>
          <w:bCs/>
        </w:rPr>
        <w:t>:</w:t>
      </w:r>
      <w:r>
        <w:rPr>
          <w:b/>
          <w:bCs/>
        </w:rPr>
        <w:t xml:space="preserve"> </w:t>
      </w:r>
      <w:r>
        <w:t>Critical in that failure to address the issue or progress the work would lead to one or more of the following occurring: fai</w:t>
      </w:r>
      <w:r>
        <w:t xml:space="preserve">lure to achieve organisational objectives, disruption to the business, financial loss, fraud, inefficient use of resources, failure to comply with law or regulations, or damage to the council's reputation.  </w:t>
      </w:r>
      <w:r>
        <w:rPr>
          <w:i/>
        </w:rPr>
        <w:t>Remedial action must be taken urgently</w:t>
      </w:r>
      <w:r>
        <w:t>.</w:t>
      </w:r>
    </w:p>
    <w:p w:rsidR="009672B6" w:rsidRDefault="00AC5DF3" w:rsidP="00AC5DF3">
      <w:pPr>
        <w:pStyle w:val="Rblankparagraph"/>
      </w:pPr>
      <w:r>
        <w:rPr>
          <w:b/>
          <w:bCs/>
        </w:rPr>
        <w:t>Medium re</w:t>
      </w:r>
      <w:r>
        <w:rPr>
          <w:b/>
          <w:bCs/>
        </w:rPr>
        <w:t>sidual risk</w:t>
      </w:r>
      <w:r>
        <w:rPr>
          <w:bCs/>
        </w:rPr>
        <w:t xml:space="preserve">: </w:t>
      </w:r>
      <w:r>
        <w:t xml:space="preserve">Less critical, but failure to address the issue or progress the work could impact on operational objectives and should be of concern to senior management. </w:t>
      </w:r>
      <w:r>
        <w:rPr>
          <w:i/>
        </w:rPr>
        <w:t>Prompt specific action should be taken</w:t>
      </w:r>
      <w:r>
        <w:t>. </w:t>
      </w:r>
    </w:p>
    <w:p w:rsidR="009672B6" w:rsidRDefault="00AC5DF3" w:rsidP="00AC5DF3">
      <w:pPr>
        <w:pStyle w:val="Rblankparagraph"/>
        <w:rPr>
          <w:bCs/>
          <w:iCs/>
        </w:rPr>
      </w:pPr>
      <w:r>
        <w:rPr>
          <w:b/>
          <w:bCs/>
        </w:rPr>
        <w:t>Low residual risk</w:t>
      </w:r>
      <w:r>
        <w:rPr>
          <w:bCs/>
        </w:rPr>
        <w:t>:</w:t>
      </w:r>
      <w:r>
        <w:rPr>
          <w:b/>
          <w:bCs/>
        </w:rPr>
        <w:t xml:space="preserve"> </w:t>
      </w:r>
      <w:r>
        <w:t>Areas that individually have</w:t>
      </w:r>
      <w:r>
        <w:t xml:space="preserve"> no major impact on achieving the service objectives or on the work programme, but where combined with others could give cause for concern. </w:t>
      </w:r>
      <w:r>
        <w:rPr>
          <w:bCs/>
          <w:i/>
          <w:iCs/>
        </w:rPr>
        <w:t>Specific remedial action is desirable</w:t>
      </w:r>
      <w:r>
        <w:rPr>
          <w:bCs/>
          <w:iCs/>
        </w:rPr>
        <w:t>.</w:t>
      </w:r>
    </w:p>
    <w:p w:rsidR="002C4878" w:rsidRDefault="00AC5DF3">
      <w:pPr>
        <w:spacing w:after="160" w:line="259" w:lineRule="auto"/>
        <w:rPr>
          <w:rFonts w:ascii="Arial" w:eastAsiaTheme="majorEastAsia" w:hAnsi="Arial" w:cs="Arial"/>
          <w:b/>
          <w:sz w:val="32"/>
          <w:szCs w:val="24"/>
        </w:rPr>
      </w:pPr>
      <w:r>
        <w:br w:type="page"/>
      </w:r>
    </w:p>
    <w:p w:rsidR="009672B6" w:rsidRDefault="00AC5DF3" w:rsidP="002C4878">
      <w:pPr>
        <w:pStyle w:val="Rtitle"/>
      </w:pPr>
      <w:r>
        <w:lastRenderedPageBreak/>
        <w:t>2018/19</w:t>
      </w:r>
    </w:p>
    <w:p w:rsidR="009672B6" w:rsidRDefault="00AC5DF3" w:rsidP="002C4878">
      <w:pPr>
        <w:pStyle w:val="Rheading"/>
        <w:numPr>
          <w:ilvl w:val="0"/>
          <w:numId w:val="0"/>
        </w:numPr>
        <w:ind w:left="567" w:hanging="567"/>
      </w:pPr>
      <w:r>
        <w:t>Assurance levels</w:t>
      </w:r>
    </w:p>
    <w:p w:rsidR="009672B6" w:rsidRDefault="00AC5DF3" w:rsidP="00AC5DF3">
      <w:pPr>
        <w:pStyle w:val="Rblankparagraph"/>
      </w:pPr>
      <w:r>
        <w:t>Note that our assurance may address the adequacy o</w:t>
      </w:r>
      <w:r>
        <w:t>f the control framework's design, the effectiveness of the controls in operation, or both. The wording below addresses all of these options and we will refer in our reports to the assurance applicable to the scope of the work we have undertaken.</w:t>
      </w:r>
    </w:p>
    <w:p w:rsidR="009672B6" w:rsidRDefault="00AC5DF3" w:rsidP="00AC5DF3">
      <w:pPr>
        <w:pStyle w:val="Rblankparagraph"/>
      </w:pPr>
      <w:r>
        <w:rPr>
          <w:b/>
        </w:rPr>
        <w:t>Substantia</w:t>
      </w:r>
      <w:r>
        <w:rPr>
          <w:b/>
        </w:rPr>
        <w:t>l assurance</w:t>
      </w:r>
      <w:r>
        <w:t>: the framework of control is adequately designed and/ or effectively operated.</w:t>
      </w:r>
    </w:p>
    <w:p w:rsidR="009672B6" w:rsidRDefault="00AC5DF3" w:rsidP="00AC5DF3">
      <w:pPr>
        <w:pStyle w:val="Rblankparagraph"/>
      </w:pPr>
      <w:r>
        <w:rPr>
          <w:b/>
        </w:rPr>
        <w:t>Moderate assurance</w:t>
      </w:r>
      <w:r>
        <w:t>: the framework of control is adequately designed and/ or effectively operated overall, but some action is required to enhance aspects of it and/ o</w:t>
      </w:r>
      <w:r>
        <w:t>r ensure that it is effectively operated throughout the service, system or process.</w:t>
      </w:r>
    </w:p>
    <w:p w:rsidR="009672B6" w:rsidRDefault="00AC5DF3" w:rsidP="00AC5DF3">
      <w:pPr>
        <w:pStyle w:val="Rblankparagraph"/>
      </w:pPr>
      <w:r>
        <w:rPr>
          <w:b/>
        </w:rPr>
        <w:t>Limited assurance</w:t>
      </w:r>
      <w:r>
        <w:t>: there are some significant weaknesses in the design and/ or operation of the framework of control that put the achievement of the service, system or proc</w:t>
      </w:r>
      <w:r>
        <w:t>ess' objectives at risk.</w:t>
      </w:r>
    </w:p>
    <w:p w:rsidR="009672B6" w:rsidRDefault="00AC5DF3" w:rsidP="00AC5DF3">
      <w:pPr>
        <w:pStyle w:val="Rblankparagraph"/>
        <w:rPr>
          <w:rFonts w:cs="Arial"/>
          <w:b/>
          <w:sz w:val="28"/>
          <w:szCs w:val="28"/>
        </w:rPr>
      </w:pPr>
      <w:r>
        <w:rPr>
          <w:b/>
        </w:rPr>
        <w:t>No assurance</w:t>
      </w:r>
      <w:r>
        <w:t>: there are some fundamental weaknesses in the design and/ or operation of the framework of control that could result in failure to achieve the service, system or process' objectives.</w:t>
      </w:r>
    </w:p>
    <w:p w:rsidR="009672B6" w:rsidRDefault="00AC5DF3" w:rsidP="00AC5DF3">
      <w:pPr>
        <w:pStyle w:val="Rheading"/>
        <w:numPr>
          <w:ilvl w:val="0"/>
          <w:numId w:val="0"/>
        </w:numPr>
        <w:ind w:left="567" w:hanging="567"/>
        <w:jc w:val="both"/>
      </w:pPr>
      <w:r>
        <w:t>R</w:t>
      </w:r>
      <w:r>
        <w:t>esidual risks</w:t>
      </w:r>
    </w:p>
    <w:p w:rsidR="009672B6" w:rsidRDefault="00AC5DF3" w:rsidP="00AC5DF3">
      <w:pPr>
        <w:pStyle w:val="Rblankparagraph"/>
        <w:rPr>
          <w:rFonts w:cs="Arial"/>
          <w:b/>
          <w:bCs/>
          <w:i/>
        </w:rPr>
      </w:pPr>
      <w:r>
        <w:rPr>
          <w:rFonts w:cs="Arial"/>
          <w:b/>
          <w:bCs/>
        </w:rPr>
        <w:t xml:space="preserve">Extreme residual </w:t>
      </w:r>
      <w:r>
        <w:rPr>
          <w:rFonts w:cs="Arial"/>
          <w:b/>
          <w:bCs/>
        </w:rPr>
        <w:t>risk</w:t>
      </w:r>
      <w:r>
        <w:t>: critical and urgent in that failure to address the risk could lead to one or more of the following: catastrophic loss of the county council's services, loss of life, significant environmental damage or significant financial loss, with related nationa</w:t>
      </w:r>
      <w:r>
        <w:t xml:space="preserve">l press coverage and substantial damage to the council's reputation. </w:t>
      </w:r>
      <w:r>
        <w:rPr>
          <w:i/>
        </w:rPr>
        <w:t>Remedial action must be taken immediately.</w:t>
      </w:r>
    </w:p>
    <w:p w:rsidR="009672B6" w:rsidRDefault="00AC5DF3" w:rsidP="00AC5DF3">
      <w:pPr>
        <w:pStyle w:val="Rblankparagraph"/>
      </w:pPr>
      <w:r>
        <w:rPr>
          <w:rFonts w:cs="Arial"/>
          <w:b/>
          <w:bCs/>
        </w:rPr>
        <w:t>High residual risk</w:t>
      </w:r>
      <w:r>
        <w:rPr>
          <w:rFonts w:cs="Arial"/>
          <w:bCs/>
        </w:rPr>
        <w:t>:</w:t>
      </w:r>
      <w:r>
        <w:rPr>
          <w:rFonts w:cs="Arial"/>
          <w:b/>
          <w:bCs/>
        </w:rPr>
        <w:t xml:space="preserve"> </w:t>
      </w:r>
      <w:r>
        <w:t>critical in that failure to address the issue or progress the work would lead to one or more of the following: failure to ac</w:t>
      </w:r>
      <w:r>
        <w:t xml:space="preserve">hieve organisational objectives, significant disruption to the council's business or to users of its services, significant financial loss, inefficient use of resources, failure to comply with law or regulations, or damage to the council's reputation.  </w:t>
      </w:r>
      <w:r>
        <w:rPr>
          <w:i/>
        </w:rPr>
        <w:t>Reme</w:t>
      </w:r>
      <w:r>
        <w:rPr>
          <w:i/>
        </w:rPr>
        <w:t>dial action must be taken urgently</w:t>
      </w:r>
      <w:r>
        <w:t>.</w:t>
      </w:r>
    </w:p>
    <w:p w:rsidR="009672B6" w:rsidRDefault="00AC5DF3" w:rsidP="00AC5DF3">
      <w:pPr>
        <w:pStyle w:val="Rblankparagraph"/>
      </w:pPr>
      <w:r>
        <w:rPr>
          <w:rFonts w:cs="Arial"/>
          <w:b/>
          <w:bCs/>
        </w:rPr>
        <w:t>Medium residual risk</w:t>
      </w:r>
      <w:r>
        <w:rPr>
          <w:rFonts w:cs="Arial"/>
          <w:bCs/>
        </w:rPr>
        <w:t xml:space="preserve">: </w:t>
      </w:r>
      <w:r>
        <w:t xml:space="preserve">failure to address the issue or progress the work could impact on operational objectives and should be of concern to senior management. </w:t>
      </w:r>
      <w:r>
        <w:rPr>
          <w:i/>
        </w:rPr>
        <w:t>Prompt specific action should be taken</w:t>
      </w:r>
      <w:r>
        <w:t>. </w:t>
      </w:r>
    </w:p>
    <w:p w:rsidR="009672B6" w:rsidRPr="002C4878" w:rsidRDefault="00AC5DF3" w:rsidP="00AC5DF3">
      <w:pPr>
        <w:pStyle w:val="Rblankparagraph"/>
        <w:rPr>
          <w:rFonts w:cs="Arial"/>
          <w:b/>
          <w:sz w:val="28"/>
          <w:szCs w:val="28"/>
        </w:rPr>
      </w:pPr>
      <w:r>
        <w:rPr>
          <w:rFonts w:cs="Arial"/>
          <w:b/>
          <w:bCs/>
        </w:rPr>
        <w:t>Low residual risk</w:t>
      </w:r>
      <w:r>
        <w:rPr>
          <w:rFonts w:cs="Arial"/>
          <w:bCs/>
        </w:rPr>
        <w:t>:</w:t>
      </w:r>
      <w:r>
        <w:rPr>
          <w:rFonts w:cs="Arial"/>
          <w:b/>
          <w:bCs/>
        </w:rPr>
        <w:t xml:space="preserve"> </w:t>
      </w:r>
      <w:r>
        <w:t>matters that individually have no major impact on achievin</w:t>
      </w:r>
      <w:bookmarkStart w:id="0" w:name="_GoBack"/>
      <w:bookmarkEnd w:id="0"/>
      <w:r>
        <w:t>g the service's objectives, but where combined with others could</w:t>
      </w:r>
      <w:r>
        <w:rPr>
          <w:rFonts w:cs="Arial"/>
        </w:rPr>
        <w:t xml:space="preserve"> give cause for concern. </w:t>
      </w:r>
      <w:r>
        <w:rPr>
          <w:rFonts w:cs="Arial"/>
          <w:bCs/>
          <w:i/>
          <w:iCs/>
        </w:rPr>
        <w:t>Specific remedial action is desirable</w:t>
      </w:r>
      <w:r>
        <w:rPr>
          <w:rFonts w:cs="Arial"/>
          <w:bCs/>
          <w:iCs/>
        </w:rPr>
        <w:t>.</w:t>
      </w:r>
    </w:p>
    <w:sectPr w:rsidR="009672B6" w:rsidRPr="002C4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5DF3">
      <w:pPr>
        <w:spacing w:line="240" w:lineRule="auto"/>
      </w:pPr>
      <w:r>
        <w:separator/>
      </w:r>
    </w:p>
  </w:endnote>
  <w:endnote w:type="continuationSeparator" w:id="0">
    <w:p w:rsidR="00000000" w:rsidRDefault="00AC5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5DF3">
      <w:pPr>
        <w:spacing w:line="240" w:lineRule="auto"/>
      </w:pPr>
      <w:r>
        <w:separator/>
      </w:r>
    </w:p>
  </w:footnote>
  <w:footnote w:type="continuationSeparator" w:id="0">
    <w:p w:rsidR="00000000" w:rsidRDefault="00AC5D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8D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CAD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B01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E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40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26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EC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B9521580">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22BE29AC" w:tentative="1">
      <w:start w:val="1"/>
      <w:numFmt w:val="lowerLetter"/>
      <w:lvlText w:val="%2."/>
      <w:lvlJc w:val="left"/>
      <w:pPr>
        <w:ind w:left="1440" w:hanging="360"/>
      </w:pPr>
    </w:lvl>
    <w:lvl w:ilvl="2" w:tplc="EE7A76F0" w:tentative="1">
      <w:start w:val="1"/>
      <w:numFmt w:val="lowerRoman"/>
      <w:lvlText w:val="%3."/>
      <w:lvlJc w:val="right"/>
      <w:pPr>
        <w:ind w:left="2160" w:hanging="180"/>
      </w:pPr>
    </w:lvl>
    <w:lvl w:ilvl="3" w:tplc="477A689E" w:tentative="1">
      <w:start w:val="1"/>
      <w:numFmt w:val="decimal"/>
      <w:lvlText w:val="%4."/>
      <w:lvlJc w:val="left"/>
      <w:pPr>
        <w:ind w:left="2880" w:hanging="360"/>
      </w:pPr>
    </w:lvl>
    <w:lvl w:ilvl="4" w:tplc="128A962C" w:tentative="1">
      <w:start w:val="1"/>
      <w:numFmt w:val="lowerLetter"/>
      <w:lvlText w:val="%5."/>
      <w:lvlJc w:val="left"/>
      <w:pPr>
        <w:ind w:left="3600" w:hanging="360"/>
      </w:pPr>
    </w:lvl>
    <w:lvl w:ilvl="5" w:tplc="8A6491A8" w:tentative="1">
      <w:start w:val="1"/>
      <w:numFmt w:val="lowerRoman"/>
      <w:lvlText w:val="%6."/>
      <w:lvlJc w:val="right"/>
      <w:pPr>
        <w:ind w:left="4320" w:hanging="180"/>
      </w:pPr>
    </w:lvl>
    <w:lvl w:ilvl="6" w:tplc="7D48C206" w:tentative="1">
      <w:start w:val="1"/>
      <w:numFmt w:val="decimal"/>
      <w:lvlText w:val="%7."/>
      <w:lvlJc w:val="left"/>
      <w:pPr>
        <w:ind w:left="5040" w:hanging="360"/>
      </w:pPr>
    </w:lvl>
    <w:lvl w:ilvl="7" w:tplc="083C4EF6" w:tentative="1">
      <w:start w:val="1"/>
      <w:numFmt w:val="lowerLetter"/>
      <w:lvlText w:val="%8."/>
      <w:lvlJc w:val="left"/>
      <w:pPr>
        <w:ind w:left="5760" w:hanging="360"/>
      </w:pPr>
    </w:lvl>
    <w:lvl w:ilvl="8" w:tplc="973AF06E"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47C75BDA"/>
    <w:multiLevelType w:val="hybridMultilevel"/>
    <w:tmpl w:val="27E6247C"/>
    <w:lvl w:ilvl="0" w:tplc="8884B08E">
      <w:start w:val="1"/>
      <w:numFmt w:val="bullet"/>
      <w:pStyle w:val="Rbullet"/>
      <w:lvlText w:val=""/>
      <w:lvlJc w:val="left"/>
      <w:pPr>
        <w:ind w:left="1440" w:hanging="360"/>
      </w:pPr>
      <w:rPr>
        <w:rFonts w:ascii="Symbol" w:hAnsi="Symbol" w:hint="default"/>
      </w:rPr>
    </w:lvl>
    <w:lvl w:ilvl="1" w:tplc="B4164606" w:tentative="1">
      <w:start w:val="1"/>
      <w:numFmt w:val="bullet"/>
      <w:lvlText w:val="o"/>
      <w:lvlJc w:val="left"/>
      <w:pPr>
        <w:ind w:left="2160" w:hanging="360"/>
      </w:pPr>
      <w:rPr>
        <w:rFonts w:ascii="Courier New" w:hAnsi="Courier New" w:cs="Courier New" w:hint="default"/>
      </w:rPr>
    </w:lvl>
    <w:lvl w:ilvl="2" w:tplc="BB1238FA" w:tentative="1">
      <w:start w:val="1"/>
      <w:numFmt w:val="bullet"/>
      <w:lvlText w:val=""/>
      <w:lvlJc w:val="left"/>
      <w:pPr>
        <w:ind w:left="2880" w:hanging="360"/>
      </w:pPr>
      <w:rPr>
        <w:rFonts w:ascii="Wingdings" w:hAnsi="Wingdings" w:hint="default"/>
      </w:rPr>
    </w:lvl>
    <w:lvl w:ilvl="3" w:tplc="2804893E" w:tentative="1">
      <w:start w:val="1"/>
      <w:numFmt w:val="bullet"/>
      <w:lvlText w:val=""/>
      <w:lvlJc w:val="left"/>
      <w:pPr>
        <w:ind w:left="3600" w:hanging="360"/>
      </w:pPr>
      <w:rPr>
        <w:rFonts w:ascii="Symbol" w:hAnsi="Symbol" w:hint="default"/>
      </w:rPr>
    </w:lvl>
    <w:lvl w:ilvl="4" w:tplc="8E6EB310" w:tentative="1">
      <w:start w:val="1"/>
      <w:numFmt w:val="bullet"/>
      <w:lvlText w:val="o"/>
      <w:lvlJc w:val="left"/>
      <w:pPr>
        <w:ind w:left="4320" w:hanging="360"/>
      </w:pPr>
      <w:rPr>
        <w:rFonts w:ascii="Courier New" w:hAnsi="Courier New" w:cs="Courier New" w:hint="default"/>
      </w:rPr>
    </w:lvl>
    <w:lvl w:ilvl="5" w:tplc="F1F6F510" w:tentative="1">
      <w:start w:val="1"/>
      <w:numFmt w:val="bullet"/>
      <w:lvlText w:val=""/>
      <w:lvlJc w:val="left"/>
      <w:pPr>
        <w:ind w:left="5040" w:hanging="360"/>
      </w:pPr>
      <w:rPr>
        <w:rFonts w:ascii="Wingdings" w:hAnsi="Wingdings" w:hint="default"/>
      </w:rPr>
    </w:lvl>
    <w:lvl w:ilvl="6" w:tplc="FA0EA2E0" w:tentative="1">
      <w:start w:val="1"/>
      <w:numFmt w:val="bullet"/>
      <w:lvlText w:val=""/>
      <w:lvlJc w:val="left"/>
      <w:pPr>
        <w:ind w:left="5760" w:hanging="360"/>
      </w:pPr>
      <w:rPr>
        <w:rFonts w:ascii="Symbol" w:hAnsi="Symbol" w:hint="default"/>
      </w:rPr>
    </w:lvl>
    <w:lvl w:ilvl="7" w:tplc="F820847C" w:tentative="1">
      <w:start w:val="1"/>
      <w:numFmt w:val="bullet"/>
      <w:lvlText w:val="o"/>
      <w:lvlJc w:val="left"/>
      <w:pPr>
        <w:ind w:left="6480" w:hanging="360"/>
      </w:pPr>
      <w:rPr>
        <w:rFonts w:ascii="Courier New" w:hAnsi="Courier New" w:cs="Courier New" w:hint="default"/>
      </w:rPr>
    </w:lvl>
    <w:lvl w:ilvl="8" w:tplc="07D01CC8" w:tentative="1">
      <w:start w:val="1"/>
      <w:numFmt w:val="bullet"/>
      <w:lvlText w:val=""/>
      <w:lvlJc w:val="left"/>
      <w:pPr>
        <w:ind w:left="7200" w:hanging="360"/>
      </w:pPr>
      <w:rPr>
        <w:rFonts w:ascii="Wingdings" w:hAnsi="Wingdings" w:hint="default"/>
      </w:rPr>
    </w:lvl>
  </w:abstractNum>
  <w:abstractNum w:abstractNumId="13" w15:restartNumberingAfterBreak="0">
    <w:nsid w:val="52C648DB"/>
    <w:multiLevelType w:val="hybridMultilevel"/>
    <w:tmpl w:val="BB8A4238"/>
    <w:lvl w:ilvl="0" w:tplc="B1C46090">
      <w:start w:val="1"/>
      <w:numFmt w:val="decimal"/>
      <w:lvlText w:val="%1."/>
      <w:lvlJc w:val="left"/>
      <w:pPr>
        <w:ind w:left="360" w:hanging="360"/>
      </w:pPr>
      <w:rPr>
        <w:b w:val="0"/>
      </w:rPr>
    </w:lvl>
    <w:lvl w:ilvl="1" w:tplc="F8BE3D4E">
      <w:start w:val="1"/>
      <w:numFmt w:val="lowerLetter"/>
      <w:lvlText w:val="%2."/>
      <w:lvlJc w:val="left"/>
      <w:pPr>
        <w:ind w:left="1080" w:hanging="360"/>
      </w:pPr>
    </w:lvl>
    <w:lvl w:ilvl="2" w:tplc="22A43AB2">
      <w:start w:val="1"/>
      <w:numFmt w:val="lowerRoman"/>
      <w:lvlText w:val="%3."/>
      <w:lvlJc w:val="right"/>
      <w:pPr>
        <w:ind w:left="1800" w:hanging="180"/>
      </w:pPr>
    </w:lvl>
    <w:lvl w:ilvl="3" w:tplc="0F8252AA">
      <w:start w:val="1"/>
      <w:numFmt w:val="decimal"/>
      <w:lvlText w:val="%4."/>
      <w:lvlJc w:val="left"/>
      <w:pPr>
        <w:ind w:left="2520" w:hanging="360"/>
      </w:pPr>
    </w:lvl>
    <w:lvl w:ilvl="4" w:tplc="C5B07F8C">
      <w:start w:val="1"/>
      <w:numFmt w:val="lowerLetter"/>
      <w:lvlText w:val="%5."/>
      <w:lvlJc w:val="left"/>
      <w:pPr>
        <w:ind w:left="3240" w:hanging="360"/>
      </w:pPr>
    </w:lvl>
    <w:lvl w:ilvl="5" w:tplc="BC629856">
      <w:start w:val="1"/>
      <w:numFmt w:val="lowerRoman"/>
      <w:lvlText w:val="%6."/>
      <w:lvlJc w:val="right"/>
      <w:pPr>
        <w:ind w:left="3960" w:hanging="180"/>
      </w:pPr>
    </w:lvl>
    <w:lvl w:ilvl="6" w:tplc="8342E7E2">
      <w:start w:val="1"/>
      <w:numFmt w:val="decimal"/>
      <w:lvlText w:val="%7."/>
      <w:lvlJc w:val="left"/>
      <w:pPr>
        <w:ind w:left="4680" w:hanging="360"/>
      </w:pPr>
    </w:lvl>
    <w:lvl w:ilvl="7" w:tplc="8522F534">
      <w:start w:val="1"/>
      <w:numFmt w:val="lowerLetter"/>
      <w:lvlText w:val="%8."/>
      <w:lvlJc w:val="left"/>
      <w:pPr>
        <w:ind w:left="5400" w:hanging="360"/>
      </w:pPr>
    </w:lvl>
    <w:lvl w:ilvl="8" w:tplc="70F4A42A">
      <w:start w:val="1"/>
      <w:numFmt w:val="lowerRoman"/>
      <w:lvlText w:val="%9."/>
      <w:lvlJc w:val="right"/>
      <w:pPr>
        <w:ind w:left="6120" w:hanging="180"/>
      </w:pPr>
    </w:lvl>
  </w:abstractNum>
  <w:abstractNum w:abstractNumId="14" w15:restartNumberingAfterBreak="0">
    <w:nsid w:val="69536897"/>
    <w:multiLevelType w:val="multilevel"/>
    <w:tmpl w:val="E05235B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6"/>
  </w:num>
  <w:num w:numId="15">
    <w:abstractNumId w:val="12"/>
  </w:num>
  <w:num w:numId="16">
    <w:abstractNumId w:val="14"/>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4"/>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6"/>
  </w:num>
  <w:num w:numId="19">
    <w:abstractNumId w:val="16"/>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F4"/>
    <w:rsid w:val="00015BF4"/>
    <w:rsid w:val="00AC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A84E0-6A84-4BB0-91F0-8848838E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69"/>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17397E"/>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17397E"/>
    <w:rPr>
      <w:rFonts w:ascii="Arial" w:eastAsiaTheme="minorEastAsia" w:hAnsi="Arial"/>
      <w:sz w:val="24"/>
    </w:rPr>
  </w:style>
  <w:style w:type="paragraph" w:customStyle="1" w:styleId="Rbullet">
    <w:name w:val="R bullet"/>
    <w:basedOn w:val="Rnumberedparagraph"/>
    <w:link w:val="RbulletChar"/>
    <w:autoRedefine/>
    <w:qFormat/>
    <w:rsid w:val="00291B97"/>
    <w:pPr>
      <w:numPr>
        <w:ilvl w:val="0"/>
        <w:numId w:val="15"/>
      </w:numPr>
      <w:ind w:left="1134" w:hanging="283"/>
    </w:pPr>
  </w:style>
  <w:style w:type="paragraph" w:customStyle="1" w:styleId="Rblankparagraph">
    <w:name w:val="R blank paragraph"/>
    <w:basedOn w:val="Rnumberedparagraph"/>
    <w:link w:val="RblankparagraphChar"/>
    <w:autoRedefine/>
    <w:qFormat/>
    <w:rsid w:val="00AC5DF3"/>
    <w:pPr>
      <w:numPr>
        <w:ilvl w:val="0"/>
        <w:numId w:val="0"/>
      </w:numPr>
      <w:jc w:val="both"/>
    </w:pPr>
    <w:rPr>
      <w:lang w:eastAsia="en-GB"/>
    </w:rPr>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17397E"/>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AC5DF3"/>
    <w:rPr>
      <w:rFonts w:ascii="Arial" w:eastAsiaTheme="minorEastAsia" w:hAnsi="Arial" w:cs="Times New Roman"/>
      <w:sz w:val="24"/>
      <w:szCs w:val="20"/>
      <w:lang w:eastAsia="en-GB"/>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17397E"/>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DE028F"/>
    <w:pPr>
      <w:numPr>
        <w:ilvl w:val="0"/>
        <w:numId w:val="0"/>
      </w:numPr>
      <w:tabs>
        <w:tab w:val="right" w:pos="9026"/>
      </w:tabs>
      <w:spacing w:after="0"/>
      <w:ind w:left="567"/>
    </w:pPr>
    <w:rPr>
      <w:b/>
    </w:rPr>
  </w:style>
  <w:style w:type="character" w:customStyle="1" w:styleId="RquotationChar">
    <w:name w:val="R quotation Char"/>
    <w:basedOn w:val="RblankparagraphChar"/>
    <w:link w:val="Rquotation"/>
    <w:rsid w:val="000D1344"/>
    <w:rPr>
      <w:rFonts w:ascii="Arial" w:eastAsiaTheme="minorEastAsia" w:hAnsi="Arial" w:cs="Times New Roman"/>
      <w:sz w:val="24"/>
      <w:szCs w:val="20"/>
      <w:lang w:eastAsia="en-GB"/>
    </w:rPr>
  </w:style>
  <w:style w:type="character" w:customStyle="1" w:styleId="Rsub-headingChar">
    <w:name w:val="R sub-heading Char"/>
    <w:basedOn w:val="RparagraphChar"/>
    <w:link w:val="Rsub-heading"/>
    <w:rsid w:val="00DE028F"/>
    <w:rPr>
      <w:rFonts w:ascii="Arial" w:eastAsiaTheme="minorEastAsia" w:hAnsi="Arial" w:cs="Times New Roman"/>
      <w:b/>
      <w:color w:val="5A5A5A" w:themeColor="text1" w:themeTint="A5"/>
      <w:spacing w:val="15"/>
      <w:sz w:val="24"/>
      <w:szCs w:val="20"/>
    </w:rPr>
  </w:style>
  <w:style w:type="paragraph" w:styleId="Header">
    <w:name w:val="header"/>
    <w:basedOn w:val="Normal"/>
    <w:link w:val="HeaderChar"/>
    <w:uiPriority w:val="99"/>
    <w:unhideWhenUsed/>
    <w:rsid w:val="005A6CDB"/>
    <w:pPr>
      <w:tabs>
        <w:tab w:val="center" w:pos="4513"/>
        <w:tab w:val="right" w:pos="9026"/>
      </w:tabs>
      <w:spacing w:line="240" w:lineRule="auto"/>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spacing w:line="240" w:lineRule="auto"/>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27631C"/>
    <w:pPr>
      <w:ind w:left="720"/>
    </w:pPr>
  </w:style>
  <w:style w:type="character" w:customStyle="1" w:styleId="ListParagraphChar">
    <w:name w:val="List Paragraph Char"/>
    <w:basedOn w:val="DefaultParagraphFont"/>
    <w:link w:val="ListParagraph"/>
    <w:uiPriority w:val="34"/>
    <w:locked/>
    <w:rsid w:val="002763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33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9</cp:revision>
  <cp:lastPrinted>2018-07-11T09:29:00Z</cp:lastPrinted>
  <dcterms:created xsi:type="dcterms:W3CDTF">2018-07-11T09:33:00Z</dcterms:created>
  <dcterms:modified xsi:type="dcterms:W3CDTF">2018-07-17T08:12:00Z</dcterms:modified>
</cp:coreProperties>
</file>